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QFD质量功能展开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2021-07-17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4500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
          部门总监、部门经理、QA、工程师、中基层管理者、企业骨干等希望研究QFD的人员
          <w:br/>
          <w:br/>
          <w:br/>
          <w:br/>
          <w:br/>
          <w:br/>
          <w:br/>
        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培训时间：2021年07月17-21日深圳10月25-27日深圳
			培训费用：4800元/人（含资料费、午餐费、专家演讲费、会务费）
			课程准备：请学员准备笔记本电脑，用于课程中案例分析、模拟操作、系统下载等
			∵〖课程背景〗
			市场竞争越来越激烈?产品同质化严重，没有核心竞争力。
			我们如何能赢得市场?
			我们的卖点是什么?
			卖给谁才有利可赚？谁是能给你价值的客户？
			如何让客户满意?满意度=100%-1%=0
			客户的真正需求到底是什么?
			知道了客户需求就可以了吗?
			我们到底怎么做让客户满意?
			这些实实在在的问题就是QFD的应用步骤，QFD就是帮助企业解决这些硬性的问题。
			QFD是日本成就卓越质量的法宝之一，日本曾经凭借着QFD的应用而占领世界品质最高
			端。QFD把质量设计和质量规划的有机整合，把顾客对产品的需求进行多层次演绎分析，逐
			步转化为产品设计要求、零部件特性、工艺要求和生产要求，真正的满足客户的要求，让企
			业增强核心竞争力。
			∵〖课程收益〗
			1.正确倾听顾客的声音
			2.理解QFD的内涵
			3.掌握QFD的模式
			4.熟知质量屋的结构
			5.掌握QFD科学的量化方法
			6.能在企业建立QFD系统
			7.能够操作和应用QFD软件
			8.能够应用QFD帮助企业解决质量问题
			9.完全理解并满足客户的价值要求
			∵〖课程大纲〗
			一.QFD的概念
			-企业生存思考
			-QFD思维
			1、定义
			-质量机能展开
			-质量展开
			-人的最高追求与现实
			-质量的内涵
			-二元质量：KNAO模型
			-机能
			-展开方式
			2、分类
			-质量机能展开的构成
			3、由来
			-没有伟大的企业，只有时代的企业
			4、效用
			-有形收益、无形收益和积累价值
			5、原理
			-六个原理
			6、必要性
			-产品失败的原因
			7、应用时机
			-主动时机和被动时机
			二.QFD的模式
			1、ASI四阶段模式
			2、QFD模式流程
			三.HOQ质量屋及案例分析
			1、质量屋的结构要素
			案例：你想要什么样的产品？
			2、顾客需求与工程措施的设定
			3、关键措施与瓶颈技术的确定
			4、四个阶段的质量功能展开
			5、QFD的量化方法
			1)顾客需求重要度
			2)关系矩阵
			3)相关矩阵
			4)市场竟争力
			5)加权后工程措施的重要度
			6)技术竟争能力
			7)市场竞争能力指数
			8)技术竞争能力指数
			9)综合竞争能力指数
			四、QFD展开流程及案例分析
			-QFD展开流程
			1、组织培训
			2、确定项目
			3、建立质量展开小组CFT
			4、顾客需求分析：BS、顾客投诉、顾客会议、调查、BM、需求转换
			1)顾客需求的获取
			练习：顾客需求识别
			顾客反馈表
			2)顾客需求的整理
			顾客需求转换与亲和图
			3)顾客需求重要度
			4)市场竞争能力分析
			5、工程措施的确定与瓶颈技术攻关
			1)工程措施的制定
			2)质量屋要素的量化评估-关系矩阵
			3)工程措施的相关矩阵
			4)工程措施重要度评估
			-独立评分法
			5)工程措施指标的确定
			6)关键措施与瓶颈技术的确定
			7)校核市场竞争性评估和技术竞争性评估
			五、各级质量屋的建立-并行工程
			1、并行工程
			2、质量屋建立的原则
			六、零部件配置阶段及流程
			七、工艺规划阶段及流程
			八、生产规划阶段及流程
			九、成本展开
			十、可靠性展开
			FMEA：DFMEA、PFMEA、EFMEA、AFMEA
			十一、落实关键技术设计和控制手段：
			DOE、SPC、CPK、CP、SOP、SIP、BP等
			十二、QFD制造业案例
			1、案例一：CD-R/RW刻录机的开发案例
			2、案例二：打印纸案例
			3、案例三：空调机案例
			4、案例四：变速器案例
			5、案例五：手机案例
			十三、QFD在服务领域和管理领域的应用
			1、QFD和服务业
			2、QFD在服务业的应用
			案例：雷兹一卡尔通旅店
			3、QFD在管理领域的应用
			案例：通讯杂志社
			十四、QFD应用常见的问题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专家介绍
			王绪旺质量经营和精益六西格玛专家
          <w:br/>
			国家CCAA注册认证人员继续教育六西格玛培训教师(MBB)
			中国质量协会CAQ认证六西格玛黑带培训教师(MBB)
			深圳质量技术监督培训中心六西格玛培训教师(MBB)
			中国质量协会CAQ注册全面质量管理培训教师（TQM）
			中国质量协会CAQ注册全国质量奖评审员（PEM）
			国际训练协会AITA注册国际职业培训师（PTT）
			中国质量协会认证六西格玛黑带(BB)
			中国讲师网认证中国品牌讲师（BT）
			深圳市QC质量管理小组诊断师（QCC）
			Intertek、DNV•GL、SGS、时代光华等多家机构资深讲师
			15年企业咨询及培训经验、200多家企业咨询及培训经验、全国1000多场公开课培训经验
			授课风格：实战轻松清晰条理活跃互动透彻易懂系统实用
			核心理念：实实在在帮企业增加价值、第一次就做对
			主讲部分课程：
			《六西格玛绿带》、《六西格玛黑带》、《TQM全面质量管理》、《DOE试验设计》、
			《QFD质量机能展开》、《FMEA潜在失效模式和后果分析》、《SPC统计过程控制》、
			《MSA测量系统分析》、《APQP质量先期策划和控制计划》、《ANOVA方差分析》、
			《HT假设检验》、《QC七大手法》、《QCC质量圈改善》、《Poka-Yoke防错管理》、
			《IE工业工程》、《LP精益生产》、《8D问题分析和解决》、《QRQC》、《5Why》、
			《IATF16949汽车质量管理体系》、《IATF16949五项核心工具》、《5S》、《6S》、
			《ISO9001质量管理体系》、《ISO14001环境管理体系》、《过程能力》、《5M1E》、
			《QCM质量成本》、《RM风险管理》、《QRM质量风险管理》、《ETB卓越团队建设》。
			服务过的部分企业：
			松下电子，LG化学，伟创力，比亚迪汽车，广汽汽车，江铃汽车，美的制冷，现代汽车，上汽华域大陆，赛诺菲-巴斯德，住友集团，光宝集团，南洋烟草，常德烟草，深圳烟草，蓝思科技，东莞华科，富临精工，中南实业，振华通信，方正电路板，国人通信，富士康，航嘉集团，美泰玩具，群光电子，厦门信达，标准马达，信浓马达，泰硕电子，格力凌达，亚伦集团，建业集团，沃尔核材，君临集团，至卓飞高，风华高科，迈瑞医疗，重庆齿轮，三诺集团，德普特电子，安费诺集团，裕同印刷，和胜铝材，卡司通，合力泰，中兴新材，美维电路板，安佰集团，崇达电路，金进科技，精量电子，成谦音响，欣旺达，创维集团。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QFD质量功能展开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