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精益生产管理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2021-12-22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6380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生产管理者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2020-12-23至2020-12-25【上海】2021-03-01至2021-03-03【成都】
          <w:br/>
2021-04-14至2021-04-16【上海】2021-07-05至2021-07-07【上海】
          <w:br/>
2021-07-12至2021-07-14【北京】2021-10-20至2021-10-22【上海】
          <w:br/>
2021-11-01至2021-11-03【北京】2021-12-22至2021-12-24【上海】
          <w:br/>
课程背景
          <w:br/>
精益生产是当今最具有竞争力的生产运营方法论与管理体系，已经成为越来越多全球大企业卓越运营体系的核心理念之一。随着制造企业间的竞争愈来愈激烈，精益生产已成为公司卓越运营竞争战略的重要组成部分。与大批量生产相比，精益生产只有：1/2的工人、1/2的制造空间、1/2的工具投资、1/2的设计工时与1/2的现场库存等。通过一整套精益改进方法论，应用强有力的精益改进工具，企业可以逐步消除生产运营中的一切浪费，在适时满足客户需求的同时最大限度地降低库存水平和成本，提高设备和人员的利用效率。
          <w:br/>
面授大纲
          <w:br/>
1.精益生产与精益思想的基本理念
          <w:br/>
*企业在生产运营管理中面临的主要问题和挑战
          <w:br/>
*精益生产的重要概念
          <w:br/>
*精益生产发展沿革与最新实践
          <w:br/>
*精益生产体系的基本架构与主要目标
          <w:br/>
*精益生产体系的主要内容
          <w:br/>
*什么是浪费
          <w:br/>
*如何消除制造企业中的典型浪费
          <w:br/>
*价值流分析与改进
          <w:br/>
*看板管理
          <w:br/>
*设备能力分析与OEE
          <w:br/>
*设备维护与TPM
          <w:br/>
*均衡生产
          <w:br/>
*自动化
          <w:br/>
*生产过程分析
          <w:br/>
*工厂布局与物流线路优化
          <w:br/>
*仓库管理与优化
          <w:br/>
*精益改进计划的实施步骤
          <w:br/>
*影响成功实施变革的主要因素
          <w:br/>
          <w:br/>
          <w:br/>
	2.精益生产管理体系
          <w:br/>
	3.如何消除制造企业中的浪费
          <w:br/>
	4.精益改进的主要方法与工具
          <w:br/>
	5.如何成功实施精益生产管理
          <w:br/>
	6.完美的经营系统概述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专家团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精益生产管理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